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AF9" w:rsidRDefault="00116AF9" w:rsidP="00116AF9">
      <w:pPr>
        <w:pageBreakBefore/>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t>Fylgiskjal 1.</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p>
    <w:p w:rsidR="00116AF9" w:rsidRDefault="00116AF9" w:rsidP="00116AF9">
      <w:pPr>
        <w:tabs>
          <w:tab w:val="left" w:pos="685"/>
          <w:tab w:val="left" w:pos="1252"/>
          <w:tab w:val="left" w:pos="1819"/>
        </w:tabs>
        <w:autoSpaceDE w:val="0"/>
        <w:autoSpaceDN w:val="0"/>
        <w:adjustRightInd w:val="0"/>
        <w:spacing w:before="120" w:after="0" w:line="240" w:lineRule="auto"/>
        <w:ind w:left="119"/>
        <w:jc w:val="center"/>
        <w:rPr>
          <w:rFonts w:ascii="Times New Roman" w:hAnsi="Times New Roman" w:cs="Times New Roman"/>
          <w:b/>
          <w:bCs/>
          <w:color w:val="000000"/>
        </w:rPr>
      </w:pPr>
      <w:r>
        <w:rPr>
          <w:rFonts w:ascii="Times New Roman" w:hAnsi="Times New Roman" w:cs="Times New Roman"/>
          <w:b/>
          <w:bCs/>
          <w:color w:val="000000"/>
        </w:rPr>
        <w:t>Agreement between the Parties to the North Atlantic Treaty for the security of information</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b/>
        <w:t>The Parties to the North Atlantic Treaty, signed at Washington on 4th April, 1949;</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b/>
        <w:t>Reaffirming that effective political consultation, cooperation and planning for defence in achieving the objectives of the Treaty entail the exchange of classified information among the Parties;</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b/>
        <w:t>Considering that provisions between the Governments of the Parties to the North Atlantic Treaty for the mutual protection and safeguarding of the classified information they may interchange are necessary;</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b/>
        <w:t>Realising that a general framework for security standards and procedures is required;</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b/>
        <w:t>Acting on their own behalf and on behalf of the North Atlantic Treaty Organization, have agreed as follows:</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t>Article 1</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The Parties shall:</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(i)</w:t>
      </w:r>
      <w:r>
        <w:rPr>
          <w:rFonts w:ascii="Times New Roman" w:hAnsi="Times New Roman" w:cs="Times New Roman"/>
          <w:color w:val="000000"/>
        </w:rPr>
        <w:tab/>
        <w:t>protect and safeguard:</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w:t>
      </w:r>
      <w:r>
        <w:rPr>
          <w:rFonts w:ascii="Times New Roman" w:hAnsi="Times New Roman" w:cs="Times New Roman"/>
          <w:color w:val="000000"/>
        </w:rPr>
        <w:tab/>
        <w:t>classified information (see Annex I), marked as such, which is originated by NATO (see Annex II) or which is submitted to NATO by a member state;</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b)</w:t>
      </w:r>
      <w:r>
        <w:rPr>
          <w:rFonts w:ascii="Times New Roman" w:hAnsi="Times New Roman" w:cs="Times New Roman"/>
          <w:color w:val="000000"/>
        </w:rPr>
        <w:tab/>
        <w:t>classified information, marked as such, of the member states submitted to another member state in support of a NATO programme, project, or contract,</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(ii)</w:t>
      </w:r>
      <w:r>
        <w:rPr>
          <w:rFonts w:ascii="Times New Roman" w:hAnsi="Times New Roman" w:cs="Times New Roman"/>
          <w:color w:val="000000"/>
        </w:rPr>
        <w:tab/>
        <w:t>maintain the security classification of information as defined under (i) above and make every effort to safeguard it accordingly;</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(iii)</w:t>
      </w:r>
      <w:r>
        <w:rPr>
          <w:rFonts w:ascii="Times New Roman" w:hAnsi="Times New Roman" w:cs="Times New Roman"/>
          <w:color w:val="000000"/>
        </w:rPr>
        <w:tab/>
        <w:t>not use classified information as defined under (i) above for purposes other than those laid down in the North Atlantic Treaty and the decisions and resolutions pertaining to that Treaty;</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(iv)</w:t>
      </w:r>
      <w:r>
        <w:rPr>
          <w:rFonts w:ascii="Times New Roman" w:hAnsi="Times New Roman" w:cs="Times New Roman"/>
          <w:color w:val="000000"/>
        </w:rPr>
        <w:tab/>
        <w:t>not disclose such information as defined under (i) above to non-NATO Parties without the consent of the originator.</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t>Article 2</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Pursuant to Article 1 of this Agreement, the Parties shall ensure the establishment of a National Security Authority for NATO activities which shall implement protective security measures. The Parties shall establish and implement security standards which shall ensure a common degree of protection for classified information.</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t>Article 3</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1. </w:t>
      </w:r>
      <w:r>
        <w:rPr>
          <w:rFonts w:ascii="Times New Roman" w:hAnsi="Times New Roman" w:cs="Times New Roman"/>
          <w:color w:val="000000"/>
        </w:rPr>
        <w:tab/>
        <w:t>The Parties shall ensure that all persons of their respective nationality who, in the conduct of their official duties, require or may have access to information classified CONFIDENTIAL and above are appropriately cleared before they take up their duties.</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color w:val="000000"/>
        </w:rPr>
        <w:tab/>
        <w:t>Security clearance procedures shall be designed to determine whether an individual can, taking into account his or her loyalty and trustworthiness, have access to classified information without constituting an unacceptable risk to security.</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color w:val="000000"/>
        </w:rPr>
        <w:tab/>
        <w:t>Upon request, each of the Parties shall cooperate with the other Parties in carrying out their respective security clearance procedures.</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t>Article 4</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lastRenderedPageBreak/>
        <w:t>The Secretary General shall ensure that the relevant provisions of this Agreement are applied by NATO (see Annex III).</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t>Article 5</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The present Agreement in no way prevents the Parties from making other Agreements relating to the exchange of classified information originated by them and not affecting the scope of the present Agreement.</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t>Article 6</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a) </w:t>
      </w:r>
      <w:r>
        <w:rPr>
          <w:rFonts w:ascii="Times New Roman" w:hAnsi="Times New Roman" w:cs="Times New Roman"/>
          <w:color w:val="000000"/>
        </w:rPr>
        <w:tab/>
        <w:t>This Agreement shall be open for signature by the Parties to the North Atlantic Treaty and shall be subject to ratification, acceptance or approval. The instruments of ratification, acceptance or approval shall be deposited with the Government of the United States of America;</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b) </w:t>
      </w:r>
      <w:r>
        <w:rPr>
          <w:rFonts w:ascii="Times New Roman" w:hAnsi="Times New Roman" w:cs="Times New Roman"/>
          <w:color w:val="000000"/>
        </w:rPr>
        <w:tab/>
        <w:t>This Agreement shall enter into force thirty days after the date of deposit by two signatory States of their instruments of ratification, acceptance or approval. It shall enter into force for each other signatory State thirty days after the deposit of its instrument of ratification, acceptance or approval.</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c) </w:t>
      </w:r>
      <w:r>
        <w:rPr>
          <w:rFonts w:ascii="Times New Roman" w:hAnsi="Times New Roman" w:cs="Times New Roman"/>
          <w:color w:val="000000"/>
        </w:rPr>
        <w:tab/>
        <w:t>This Agreement shall with respect to the Parties for which it entered into force supersede the “Security Agreement by the Parties to the North Atlantic Treaty Organization" approved by the North Atlantic Council in Annex A (paragraph 1) to Appendix to Enclosure to D.C. 2/7, on 19th April, 1952, and subsequently incorporated in Enclosure “A" (paragraph 1) to C-M(55)15(Final), approved by the North Atlantic Council on 2nd March, 1955.</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t>Article 7</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This Agreement shall remain open for accession by any new Party to the North Atlantic Treaty, in accordance with its own constitutional procedures. Its instrument of accession shall be deposited with the government of the United States of America. It shall enter into force in respect of each acceding State thirty days after the day of the deposit of its instrument of accession.</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t>Article 8</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The Government of the United States of America shall inform the Governments of the other Parties of the deposit of each instrument of ratification, acceptance, approval or accession.</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t>Article 9</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This Agreement may be denounced by written notice of denunciation by any Party given to the depository which shall inform all the other Parties of such notice. Such denunciation shall take effect one year after receipt of notification by the depository, but shall not affect obligations already contracted and the rights or prerogatives previously acquired by the Parties under the provisions of this Agreement.</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b/>
        <w:t>IN WITNESS WHEREOF the undersigned, duly authorized to this effect by their respective Governments, have signed this Agreement.</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ab/>
        <w:t>DONE in Brussels, this 6th day of March, 1997 in a single copy in the English and French languages, each text being equally authoritative, which shall be deposited in the archives of the Government of the United States of America and of which certified copies shall be transmitted by that Government to each of the other signatories.</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t>Annex I</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This Annex forms an integral part of the Agreement.</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NATO classified information is defined as follows:</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a) </w:t>
      </w:r>
      <w:r>
        <w:rPr>
          <w:rFonts w:ascii="Times New Roman" w:hAnsi="Times New Roman" w:cs="Times New Roman"/>
          <w:color w:val="000000"/>
        </w:rPr>
        <w:tab/>
        <w:t>information means knowledge that can be communicated in any form;</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lastRenderedPageBreak/>
        <w:t xml:space="preserve">b) </w:t>
      </w:r>
      <w:r>
        <w:rPr>
          <w:rFonts w:ascii="Times New Roman" w:hAnsi="Times New Roman" w:cs="Times New Roman"/>
          <w:color w:val="000000"/>
        </w:rPr>
        <w:tab/>
        <w:t>classified information means information or material determined to require protection against unauthorized disclosure which has been so designated by security classification;</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c) </w:t>
      </w:r>
      <w:r>
        <w:rPr>
          <w:rFonts w:ascii="Times New Roman" w:hAnsi="Times New Roman" w:cs="Times New Roman"/>
          <w:color w:val="000000"/>
        </w:rPr>
        <w:tab/>
        <w:t>the word “material" includes documents and also any item of machinery or equipment or weapons either manufactured or in the process of manufacture;</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 xml:space="preserve">d) </w:t>
      </w:r>
      <w:r>
        <w:rPr>
          <w:rFonts w:ascii="Times New Roman" w:hAnsi="Times New Roman" w:cs="Times New Roman"/>
          <w:color w:val="000000"/>
        </w:rPr>
        <w:tab/>
        <w:t>the word “document" means any recorded information regardless of its physical form or characteristics, including, without limitation, written or printed matter, data processing cards and tapes, maps, charts, photographs, paintings, drawings, engravings, sketches, working notes and papers, carbon copies and ink ribbons, or reproductions by any means or process, and sound, voice, magnetic or electronic or optical or video recordings in any form, and portable ADP equipment with resident computer storage media, and removable computer storage media.</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t>Annex II</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This Annex forms an integral part of the Agreement.</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For the purposes of the present Agreement, the term “NATO" denotes the North Atlantic Treaty Organization and the bodies governed either by the Agreement on the status of the North Atlantic Treaty Organization, National Representatives and International Staff, signed in Ottawa on 20th September, 1951 or by the Protocol on the status of International Military Headquarters set up pursuant to the North Atlantic Treaty, signed in Paris on 28th August, 1952.</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b/>
          <w:bCs/>
          <w:color w:val="000000"/>
        </w:rPr>
      </w:pPr>
      <w:r>
        <w:rPr>
          <w:rFonts w:ascii="Times New Roman" w:hAnsi="Times New Roman" w:cs="Times New Roman"/>
          <w:b/>
          <w:bCs/>
          <w:color w:val="000000"/>
        </w:rPr>
        <w:t>Annex III</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This Annex forms an integral part of the Agreement.</w:t>
      </w:r>
    </w:p>
    <w:p w:rsidR="00116AF9" w:rsidRDefault="00116AF9" w:rsidP="00116AF9">
      <w:pPr>
        <w:tabs>
          <w:tab w:val="left" w:pos="685"/>
          <w:tab w:val="left" w:pos="1252"/>
          <w:tab w:val="left" w:pos="1819"/>
        </w:tabs>
        <w:autoSpaceDE w:val="0"/>
        <w:autoSpaceDN w:val="0"/>
        <w:adjustRightInd w:val="0"/>
        <w:spacing w:before="120" w:after="0" w:line="240" w:lineRule="auto"/>
        <w:ind w:left="119"/>
        <w:rPr>
          <w:rFonts w:ascii="Times New Roman" w:hAnsi="Times New Roman" w:cs="Times New Roman"/>
          <w:color w:val="000000"/>
        </w:rPr>
      </w:pPr>
      <w:r>
        <w:rPr>
          <w:rFonts w:ascii="Times New Roman" w:hAnsi="Times New Roman" w:cs="Times New Roman"/>
          <w:color w:val="000000"/>
        </w:rPr>
        <w:t>Consultation takes place with military commanders in order to respect their prerogatives.</w:t>
      </w:r>
    </w:p>
    <w:p w:rsidR="00116AF9" w:rsidRDefault="00116AF9" w:rsidP="00116AF9">
      <w:pPr>
        <w:pageBreakBefore/>
        <w:tabs>
          <w:tab w:val="left" w:pos="685"/>
          <w:tab w:val="left" w:pos="1252"/>
          <w:tab w:val="left" w:pos="1819"/>
        </w:tabs>
        <w:autoSpaceDE w:val="0"/>
        <w:autoSpaceDN w:val="0"/>
        <w:adjustRightInd w:val="0"/>
        <w:spacing w:after="0" w:line="360" w:lineRule="auto"/>
        <w:ind w:left="119"/>
        <w:rPr>
          <w:rFonts w:ascii="Times New Roman" w:hAnsi="Times New Roman" w:cs="Times New Roman"/>
          <w:b/>
          <w:bCs/>
          <w:color w:val="000000"/>
        </w:rPr>
      </w:pPr>
      <w:r>
        <w:rPr>
          <w:rFonts w:ascii="Times New Roman" w:hAnsi="Times New Roman" w:cs="Times New Roman"/>
          <w:b/>
          <w:bCs/>
          <w:color w:val="000000"/>
        </w:rPr>
        <w:lastRenderedPageBreak/>
        <w:t>Fylgiskjal 2</w:t>
      </w:r>
      <w:bookmarkStart w:id="0" w:name="_GoBack"/>
      <w:bookmarkEnd w:id="0"/>
      <w:r>
        <w:rPr>
          <w:rFonts w:ascii="Times New Roman" w:hAnsi="Times New Roman" w:cs="Times New Roman"/>
          <w:b/>
          <w:bCs/>
          <w:color w:val="000000"/>
        </w:rPr>
        <w:t>.</w:t>
      </w:r>
    </w:p>
    <w:p w:rsidR="00116AF9" w:rsidRDefault="00116AF9" w:rsidP="00116AF9">
      <w:pPr>
        <w:tabs>
          <w:tab w:val="left" w:pos="685"/>
          <w:tab w:val="left" w:pos="1252"/>
          <w:tab w:val="left" w:pos="1819"/>
        </w:tabs>
        <w:autoSpaceDE w:val="0"/>
        <w:autoSpaceDN w:val="0"/>
        <w:adjustRightInd w:val="0"/>
        <w:spacing w:after="0" w:line="360" w:lineRule="auto"/>
        <w:ind w:left="119"/>
        <w:rPr>
          <w:rFonts w:ascii="Times New Roman" w:hAnsi="Times New Roman" w:cs="Times New Roman"/>
          <w:b/>
          <w:bCs/>
          <w:color w:val="000000"/>
        </w:rPr>
      </w:pPr>
    </w:p>
    <w:p w:rsidR="00116AF9" w:rsidRDefault="00116AF9" w:rsidP="00116AF9">
      <w:pPr>
        <w:autoSpaceDE w:val="0"/>
        <w:autoSpaceDN w:val="0"/>
        <w:adjustRightInd w:val="0"/>
        <w:spacing w:after="0" w:line="360" w:lineRule="auto"/>
        <w:jc w:val="center"/>
        <w:rPr>
          <w:rFonts w:ascii="Times New Roman" w:hAnsi="Times New Roman" w:cs="Times New Roman"/>
          <w:b/>
          <w:bCs/>
          <w:color w:val="000000"/>
        </w:rPr>
      </w:pPr>
      <w:r>
        <w:rPr>
          <w:rFonts w:ascii="Times New Roman" w:hAnsi="Times New Roman" w:cs="Times New Roman"/>
          <w:b/>
          <w:bCs/>
          <w:color w:val="000000"/>
        </w:rPr>
        <w:t>Samningur milli aðila að Norður-Atlantshafssamningnum um upplýsingaöryggi.</w:t>
      </w:r>
    </w:p>
    <w:p w:rsidR="00116AF9" w:rsidRDefault="00116AF9" w:rsidP="00116AF9">
      <w:pPr>
        <w:autoSpaceDE w:val="0"/>
        <w:autoSpaceDN w:val="0"/>
        <w:adjustRightInd w:val="0"/>
        <w:spacing w:after="0" w:line="360" w:lineRule="auto"/>
        <w:rPr>
          <w:rFonts w:ascii="Times New Roman" w:hAnsi="Times New Roman" w:cs="Times New Roman"/>
          <w:b/>
          <w:bCs/>
          <w:color w:val="000000"/>
        </w:rPr>
      </w:pPr>
    </w:p>
    <w:p w:rsidR="00116AF9" w:rsidRDefault="00116AF9" w:rsidP="00116AF9">
      <w:pPr>
        <w:autoSpaceDE w:val="0"/>
        <w:autoSpaceDN w:val="0"/>
        <w:adjustRightInd w:val="0"/>
        <w:spacing w:after="0" w:line="360" w:lineRule="auto"/>
        <w:rPr>
          <w:rFonts w:ascii="Times New Roman" w:hAnsi="Times New Roman" w:cs="Times New Roman"/>
          <w:b/>
          <w:bCs/>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 xml:space="preserve">       Aðilar að Norður-Atlantshafssamningnum sem var undirritaður í Washington hinn 4. apríl 1949,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 xml:space="preserve">       sem árétta að árangursríkt pólitískt samráð, samvinna og varnaráætlanir, sem miða að því að markmiðum þess samnings verði náð, fela í sér að aðilar skiptist á trúnaðarflokkuðum upplýsingum,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 xml:space="preserve">       sem hafa í huga að nauðsynlegt er að stjórnvöld aðila að Norður-Atlantshafssamningnum geri ráðstafanir vegna samskipta sín á milli til þess að vernda og tryggja sameiginlega öryggi trúnaðarflokkaðra upplýsinga sem þau kunna að skiptast á,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 xml:space="preserve">       sem gera sér grein fyrir að þörf er almennra rammaákvæða um öryggisviðmiðanir og -verklag,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 xml:space="preserve">       sem fyrir eigin hönd og hönd Norður-Atlantshafsbandalagsins hafa orðið ásáttir um eftirfarandi: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jc w:val="center"/>
        <w:rPr>
          <w:rFonts w:ascii="Times New Roman" w:hAnsi="Times New Roman" w:cs="Times New Roman"/>
          <w:b/>
          <w:bCs/>
          <w:color w:val="000000"/>
        </w:rPr>
      </w:pPr>
      <w:r>
        <w:rPr>
          <w:rFonts w:ascii="Times New Roman" w:hAnsi="Times New Roman" w:cs="Times New Roman"/>
          <w:b/>
          <w:bCs/>
          <w:color w:val="000000"/>
        </w:rPr>
        <w:t>1. gr.</w:t>
      </w: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 xml:space="preserve">Aðilarnir skulu: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 xml:space="preserve">i. </w:t>
      </w:r>
      <w:r>
        <w:rPr>
          <w:rFonts w:ascii="Times New Roman" w:hAnsi="Times New Roman" w:cs="Times New Roman"/>
          <w:color w:val="000000"/>
        </w:rPr>
        <w:tab/>
        <w:t>vernda og tryggja öryggi:</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a)</w:t>
      </w:r>
      <w:r>
        <w:rPr>
          <w:rFonts w:ascii="Times New Roman" w:hAnsi="Times New Roman" w:cs="Times New Roman"/>
          <w:color w:val="000000"/>
        </w:rPr>
        <w:tab/>
        <w:t>trúnaðarflokkaðra upplýsinga (sjá I. viðauka), þ.e. upplýsinga merktra tilteknu trúnaðarstigi, sem stafa frá NATO (sjá II. viðauka) eða sem aðildarríki sendir NATO,</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b)</w:t>
      </w:r>
      <w:r>
        <w:rPr>
          <w:rFonts w:ascii="Times New Roman" w:hAnsi="Times New Roman" w:cs="Times New Roman"/>
          <w:color w:val="000000"/>
        </w:rPr>
        <w:tab/>
        <w:t>trúnaðarflokkaðra upplýsinga, þ.e. upplýsinga merktra tilteknu trúnaðarstigi, frá aðildarríkjunum sem þau senda öðru aðildarríki til þess að vinna að framgangi áætlunar, verkefnis eða samnings á vegum NATO,</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ii.</w:t>
      </w:r>
      <w:r>
        <w:rPr>
          <w:rFonts w:ascii="Times New Roman" w:hAnsi="Times New Roman" w:cs="Times New Roman"/>
          <w:color w:val="000000"/>
        </w:rPr>
        <w:tab/>
        <w:t xml:space="preserve">viðhalda trúnaðarflokkun upplýsinga, sbr. skilgreiningu í i. lið hér að framan, og gera allt sem í þeirra valdi stendur til þess að tryggja öryggi þeirra til samræmis við hana,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iii.</w:t>
      </w:r>
      <w:r>
        <w:rPr>
          <w:rFonts w:ascii="Times New Roman" w:hAnsi="Times New Roman" w:cs="Times New Roman"/>
          <w:color w:val="000000"/>
        </w:rPr>
        <w:tab/>
        <w:t>ekki nota trúnaðarflokkaðar upplýsingar, sbr. skilgreiningu í i. lið hér að framan, í öðrum tilgangi en þeim sem mælt er fyrir um í Norður-Atlantshafssamningnum og ákvörðunum og ályktunum sem lúta að honum,</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lastRenderedPageBreak/>
        <w:t>iv.</w:t>
      </w:r>
      <w:r>
        <w:rPr>
          <w:rFonts w:ascii="Times New Roman" w:hAnsi="Times New Roman" w:cs="Times New Roman"/>
          <w:color w:val="000000"/>
        </w:rPr>
        <w:tab/>
        <w:t>ekki birta öðrum en þeim sem eru aðilar að NATO upplýsingar, sem eru skilgreindar í i. lið hér að framan, án samþykkis upprunaaðila.</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jc w:val="center"/>
        <w:rPr>
          <w:rFonts w:ascii="Times New Roman" w:hAnsi="Times New Roman" w:cs="Times New Roman"/>
          <w:b/>
          <w:bCs/>
          <w:color w:val="000000"/>
        </w:rPr>
      </w:pPr>
      <w:r>
        <w:rPr>
          <w:rFonts w:ascii="Times New Roman" w:hAnsi="Times New Roman" w:cs="Times New Roman"/>
          <w:b/>
          <w:bCs/>
          <w:color w:val="000000"/>
        </w:rPr>
        <w:t>2. gr.</w:t>
      </w: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 xml:space="preserve">Aðilarnir skulu, í samræmi við  1. gr. samnings þessa, tryggja að komið verði á fót öryggisstjórnvaldi vegna starfsemi NATO sem hefur það hlutverk að hrinda í framkvæmd öryggisráðstöfunum í verndarskyni.  Aðilarnir skulu ákveða og beita öryggisviðmiðunum sem skulu tryggja samræmd verndarstig trúnaðarflokkaðra upplýsinga.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jc w:val="center"/>
        <w:rPr>
          <w:rFonts w:ascii="Times New Roman" w:hAnsi="Times New Roman" w:cs="Times New Roman"/>
          <w:b/>
          <w:bCs/>
          <w:color w:val="000000"/>
        </w:rPr>
      </w:pPr>
      <w:r>
        <w:rPr>
          <w:rFonts w:ascii="Times New Roman" w:hAnsi="Times New Roman" w:cs="Times New Roman"/>
          <w:b/>
          <w:bCs/>
          <w:color w:val="000000"/>
        </w:rPr>
        <w:t>3. gr.</w:t>
      </w: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t>Aðilarnir skulu tryggja að allir ríkisborgarar hvers og eins, sem þurfa eða kunna, er þeir gegna opinberum skyldustörfum sínum, að hafa aðgang að upplýsingum flokkuðum sem  TRÚNAÐARMÁL og hærra, hljóti öryggisvottun með viðeigandi hætti áður en þeir hefja skyldustörf.</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2)</w:t>
      </w:r>
      <w:r>
        <w:rPr>
          <w:rFonts w:ascii="Times New Roman" w:hAnsi="Times New Roman" w:cs="Times New Roman"/>
          <w:color w:val="000000"/>
        </w:rPr>
        <w:tab/>
        <w:t>Verklag við öryggisvottun skal miða að því að ákveða hvort tiltekinn einstaklingur geti haft aðgang að trúnaðarflokkuðum upplýsingum, að teknu tilliti til hollustu hans og trúverðugleika, án þess að öryggi sé stofnað í hættu þannig að ekki verði við unað.</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 xml:space="preserve">3) </w:t>
      </w:r>
      <w:r>
        <w:rPr>
          <w:rFonts w:ascii="Times New Roman" w:hAnsi="Times New Roman" w:cs="Times New Roman"/>
          <w:color w:val="000000"/>
        </w:rPr>
        <w:tab/>
        <w:t xml:space="preserve">Hver aðilanna skal vinna með hinum aðilunum, að fram kominni beiðni þar um, að því að framkvæma öryggisvottun hvers og eins.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jc w:val="center"/>
        <w:rPr>
          <w:rFonts w:ascii="Times New Roman" w:hAnsi="Times New Roman" w:cs="Times New Roman"/>
          <w:b/>
          <w:bCs/>
          <w:color w:val="000000"/>
        </w:rPr>
      </w:pPr>
      <w:r>
        <w:rPr>
          <w:rFonts w:ascii="Times New Roman" w:hAnsi="Times New Roman" w:cs="Times New Roman"/>
          <w:b/>
          <w:bCs/>
          <w:color w:val="000000"/>
        </w:rPr>
        <w:t>4. gr.</w:t>
      </w: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 xml:space="preserve">Aðalframkvæmdastjórinn skal tryggja að NATO beiti viðeigandi ákvæðum samnings þessa (sjá III. viðauka).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jc w:val="center"/>
        <w:rPr>
          <w:rFonts w:ascii="Times New Roman" w:hAnsi="Times New Roman" w:cs="Times New Roman"/>
          <w:b/>
          <w:bCs/>
          <w:color w:val="000000"/>
        </w:rPr>
      </w:pPr>
      <w:r>
        <w:rPr>
          <w:rFonts w:ascii="Times New Roman" w:hAnsi="Times New Roman" w:cs="Times New Roman"/>
          <w:color w:val="000000"/>
        </w:rPr>
        <w:t xml:space="preserve"> </w:t>
      </w:r>
      <w:r>
        <w:rPr>
          <w:rFonts w:ascii="Times New Roman" w:hAnsi="Times New Roman" w:cs="Times New Roman"/>
          <w:b/>
          <w:bCs/>
          <w:color w:val="000000"/>
        </w:rPr>
        <w:t>5. gr.</w:t>
      </w: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 xml:space="preserve">Samningur þessi kemur á engan hátt í veg fyrir að aðilarnir geri aðra samninga um skipti á trúnaðarflokkuðum upplýsingum sem stafa frá þeim og hafa engin áhrif á gildissvið samnings þessa.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jc w:val="center"/>
        <w:rPr>
          <w:rFonts w:ascii="Times New Roman" w:hAnsi="Times New Roman" w:cs="Times New Roman"/>
          <w:b/>
          <w:bCs/>
          <w:color w:val="000000"/>
        </w:rPr>
      </w:pPr>
      <w:r>
        <w:rPr>
          <w:rFonts w:ascii="Times New Roman" w:hAnsi="Times New Roman" w:cs="Times New Roman"/>
          <w:b/>
          <w:bCs/>
          <w:color w:val="000000"/>
        </w:rPr>
        <w:t>6. gr.</w:t>
      </w: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a)</w:t>
      </w:r>
      <w:r>
        <w:rPr>
          <w:rFonts w:ascii="Times New Roman" w:hAnsi="Times New Roman" w:cs="Times New Roman"/>
          <w:color w:val="000000"/>
        </w:rPr>
        <w:tab/>
        <w:t>Aðilum að Norður-Atlantshafssamningnum skal heimilt að undirrita samning þennan sem skal háður fullgildingu, staðfestingu eða samþykki.  Skjöl um fullgildingu, staðfestingu eða samþykki skulu afhent ríkisstjórn Bandaríkja Ameríku til vörslu.</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b)</w:t>
      </w:r>
      <w:r>
        <w:rPr>
          <w:rFonts w:ascii="Times New Roman" w:hAnsi="Times New Roman" w:cs="Times New Roman"/>
          <w:color w:val="000000"/>
        </w:rPr>
        <w:tab/>
        <w:t xml:space="preserve">Samningur þessi öðlast gildi þrjátíu dögum eftir þann dag þegar tvö undirritunarríki hafa afhent skjöl sín um fullgildingu, staðfestingu eða samþykki til vörslu.  Samningur þessi öðlast </w:t>
      </w:r>
      <w:r>
        <w:rPr>
          <w:rFonts w:ascii="Times New Roman" w:hAnsi="Times New Roman" w:cs="Times New Roman"/>
          <w:color w:val="000000"/>
        </w:rPr>
        <w:lastRenderedPageBreak/>
        <w:t>gildi gagnvart hverju öðru undirritunarríki þrjátíu dögum eftir að skjal þess um fullgildingu, staðfestingu eða samþykki er afhent til vörslu.</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c)</w:t>
      </w:r>
      <w:r>
        <w:rPr>
          <w:rFonts w:ascii="Times New Roman" w:hAnsi="Times New Roman" w:cs="Times New Roman"/>
          <w:color w:val="000000"/>
        </w:rPr>
        <w:tab/>
        <w:t>Að því er varðar þá aðila sem samningur þessi hefur öðlast gildi gagnvart kemur hann í stað „Samnings aðila að Norður-Atlantshafsbandalaginu um öryggismál“ (Security Agreement by the Parties to the North Atlantic Treaty Organization) sem Norður-Atlantshafsráðið samþykkti í viðauka A (1. mgr.) við viðbæti við fylgiskjal D.C.2/7, hinn 19. apríl 1952, og var síðar felldur inn í fylgiskjal „A“ (1. mgr.) við C-M (5515) (Lokagerð) sem Norður-Atlantshafsráðið samþykkti hinn 2. mars 1955.</w:t>
      </w:r>
    </w:p>
    <w:p w:rsidR="00116AF9" w:rsidRDefault="00116AF9" w:rsidP="00116AF9">
      <w:pPr>
        <w:autoSpaceDE w:val="0"/>
        <w:autoSpaceDN w:val="0"/>
        <w:adjustRightInd w:val="0"/>
        <w:spacing w:after="0" w:line="360" w:lineRule="auto"/>
        <w:jc w:val="center"/>
        <w:rPr>
          <w:rFonts w:ascii="Times New Roman" w:hAnsi="Times New Roman" w:cs="Times New Roman"/>
          <w:color w:val="000000"/>
        </w:rPr>
      </w:pPr>
    </w:p>
    <w:p w:rsidR="00116AF9" w:rsidRDefault="00116AF9" w:rsidP="00116AF9">
      <w:pPr>
        <w:autoSpaceDE w:val="0"/>
        <w:autoSpaceDN w:val="0"/>
        <w:adjustRightInd w:val="0"/>
        <w:spacing w:after="0" w:line="360" w:lineRule="auto"/>
        <w:jc w:val="center"/>
        <w:rPr>
          <w:rFonts w:ascii="Times New Roman" w:hAnsi="Times New Roman" w:cs="Times New Roman"/>
          <w:color w:val="000000"/>
        </w:rPr>
      </w:pPr>
      <w:r>
        <w:rPr>
          <w:rFonts w:ascii="Times New Roman" w:hAnsi="Times New Roman" w:cs="Times New Roman"/>
          <w:b/>
          <w:bCs/>
          <w:color w:val="000000"/>
        </w:rPr>
        <w:t>7. gr.</w:t>
      </w:r>
      <w:r>
        <w:rPr>
          <w:rFonts w:ascii="Times New Roman" w:hAnsi="Times New Roman" w:cs="Times New Roman"/>
          <w:color w:val="000000"/>
        </w:rPr>
        <w:t xml:space="preserve"> </w:t>
      </w: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sz w:val="24"/>
          <w:szCs w:val="24"/>
        </w:rPr>
        <w:t xml:space="preserve">Sérhverjum </w:t>
      </w:r>
      <w:r>
        <w:rPr>
          <w:rFonts w:ascii="Times New Roman" w:hAnsi="Times New Roman" w:cs="Times New Roman"/>
          <w:color w:val="000000"/>
        </w:rPr>
        <w:t>nýjum aðila að Norður-Atlantshafssamningnum</w:t>
      </w:r>
      <w:r>
        <w:rPr>
          <w:rFonts w:ascii="Times New Roman" w:hAnsi="Times New Roman" w:cs="Times New Roman"/>
          <w:color w:val="000000"/>
          <w:sz w:val="24"/>
          <w:szCs w:val="24"/>
        </w:rPr>
        <w:t xml:space="preserve"> skal heimilt, </w:t>
      </w:r>
      <w:r>
        <w:rPr>
          <w:rFonts w:ascii="Times New Roman" w:hAnsi="Times New Roman" w:cs="Times New Roman"/>
          <w:color w:val="000000"/>
        </w:rPr>
        <w:t xml:space="preserve">í samræmi við stjórnskipunarreglur hans, </w:t>
      </w:r>
      <w:r>
        <w:rPr>
          <w:rFonts w:ascii="Times New Roman" w:hAnsi="Times New Roman" w:cs="Times New Roman"/>
          <w:color w:val="000000"/>
          <w:sz w:val="24"/>
          <w:szCs w:val="24"/>
        </w:rPr>
        <w:t>að gerast aðili að samningi þessum</w:t>
      </w:r>
      <w:r>
        <w:rPr>
          <w:rFonts w:ascii="Times New Roman" w:hAnsi="Times New Roman" w:cs="Times New Roman"/>
          <w:color w:val="000000"/>
        </w:rPr>
        <w:t xml:space="preserve">. Aðildarskjal hans skal afhent ríkisstjórn Bandaríkja Ameríku til vörslu. Samningur þessi öðlast gildi gagnvart sérhverju ríki, sem gerist aðili að Norður-Atlantshafssamningnum, þrjátíu dögum eftir að skjal þess um aðild er afhent til vörslu.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jc w:val="center"/>
        <w:rPr>
          <w:rFonts w:ascii="Times New Roman" w:hAnsi="Times New Roman" w:cs="Times New Roman"/>
          <w:b/>
          <w:bCs/>
          <w:color w:val="000000"/>
        </w:rPr>
      </w:pPr>
      <w:r>
        <w:rPr>
          <w:rFonts w:ascii="Times New Roman" w:hAnsi="Times New Roman" w:cs="Times New Roman"/>
          <w:b/>
          <w:bCs/>
          <w:color w:val="000000"/>
        </w:rPr>
        <w:t>8. gr.</w:t>
      </w: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 xml:space="preserve">Ríkisstjórn Bandaríkja Ameríku skal tilkynna ríkisstjórnum hinna aðilanna um afhendingu sérhvers skjals um fullgildingu, staðfestingu, samþykki eða aðild til vörslu.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jc w:val="center"/>
        <w:rPr>
          <w:rFonts w:ascii="Times New Roman" w:hAnsi="Times New Roman" w:cs="Times New Roman"/>
          <w:b/>
          <w:bCs/>
          <w:color w:val="000000"/>
        </w:rPr>
      </w:pPr>
      <w:r>
        <w:rPr>
          <w:rFonts w:ascii="Times New Roman" w:hAnsi="Times New Roman" w:cs="Times New Roman"/>
          <w:b/>
          <w:bCs/>
          <w:color w:val="000000"/>
        </w:rPr>
        <w:t>9. gr.</w:t>
      </w: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 xml:space="preserve">Hvaða aðila sem er er heimilt að segja sig frá samningi þessum með því að afhenda vörsluaðila skriflega tilkynningu þess efnis, sem aftur tilkynnir öllum hinum aðilunum um þá tilkynningu.  Úrsögn öðlast gildi einu ári eftir að vörsluaðili veitir tilkynningu um úrsögn viðtöku, en hefur engin áhrif á skuldbindingar sem þegar hafa stofnast og réttindi eða sérréttindi sem aðilarnir hafa áður öðlast samkvæmt ákvæðum samnings þessa.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 xml:space="preserve">Þessu til staðfestu hafa undirrituð, sem til þess hafa fullt umboð ríkisstjórna sinna, undirritað samning þennan.  </w:t>
      </w: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 xml:space="preserve">Gjört í Brussel 6. mars 1997 í einu eintaki á ensku og frönsku, en báðir textarnir eru jafngildir, sem afhenda ber til vörslu í skjalasafni ríkisstjórnar Bandaríkja Ameríku sem skal senda sérhverju hinna undirritunarríkjanna staðfest endurrit þess.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jc w:val="center"/>
        <w:rPr>
          <w:rFonts w:ascii="Times New Roman" w:hAnsi="Times New Roman" w:cs="Times New Roman"/>
          <w:b/>
          <w:bCs/>
          <w:color w:val="000000"/>
        </w:rPr>
      </w:pPr>
      <w:r>
        <w:rPr>
          <w:rFonts w:ascii="Times New Roman" w:hAnsi="Times New Roman" w:cs="Times New Roman"/>
          <w:b/>
          <w:bCs/>
          <w:color w:val="000000"/>
        </w:rPr>
        <w:t>I. VIÐAUKI</w:t>
      </w:r>
    </w:p>
    <w:p w:rsidR="00116AF9" w:rsidRDefault="00116AF9" w:rsidP="00116AF9">
      <w:pPr>
        <w:autoSpaceDE w:val="0"/>
        <w:autoSpaceDN w:val="0"/>
        <w:adjustRightInd w:val="0"/>
        <w:spacing w:after="0" w:line="360" w:lineRule="auto"/>
        <w:rPr>
          <w:rFonts w:ascii="Times New Roman" w:hAnsi="Times New Roman" w:cs="Times New Roman"/>
          <w:b/>
          <w:bCs/>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 xml:space="preserve">Viðauki þessi er óaðskiljanlegur hluti samningsins.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 xml:space="preserve">Trúnaðarflokkaðar upplýsingar NATO eru skilgreindar sem hér segir: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a)</w:t>
      </w:r>
      <w:r>
        <w:rPr>
          <w:rFonts w:ascii="Times New Roman" w:hAnsi="Times New Roman" w:cs="Times New Roman"/>
          <w:color w:val="000000"/>
        </w:rPr>
        <w:tab/>
        <w:t>upplýsingar merkir vitneskju sem er unnt að miðla í hvaða mynd sem er,</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b)</w:t>
      </w:r>
      <w:r>
        <w:rPr>
          <w:rFonts w:ascii="Times New Roman" w:hAnsi="Times New Roman" w:cs="Times New Roman"/>
          <w:color w:val="000000"/>
        </w:rPr>
        <w:tab/>
        <w:t>trúnaðarflokkaðar upplýsingar merkir upplýsingar eða efni sem nauðsynlegt er talið að vernda gegn birtingu í heimildarleysi og hefur verið auðkennt þannig með trúnaðarflokkunarstigi,</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c)</w:t>
      </w:r>
      <w:r>
        <w:rPr>
          <w:rFonts w:ascii="Times New Roman" w:hAnsi="Times New Roman" w:cs="Times New Roman"/>
          <w:color w:val="000000"/>
        </w:rPr>
        <w:tab/>
        <w:t>orðið „efni“ tekur til skjala, enn fremur véla eða tækjabúnaðar eða vopna sem hafa annaðhvort verið framleidd eða eru í framleiðslu,</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ab/>
        <w:t>d)</w:t>
      </w:r>
      <w:r>
        <w:rPr>
          <w:rFonts w:ascii="Times New Roman" w:hAnsi="Times New Roman" w:cs="Times New Roman"/>
          <w:color w:val="000000"/>
        </w:rPr>
        <w:tab/>
        <w:t>orðið „skjal“ merkir hvers kyns skráðar upplýsingar án tillits til hlutkennds forms þeirra eða einkenna, meðal annars, án takmörkunar, ritað eða prentað efni, gagnavinnslukort og segulbönd, kort, uppdrætti, ljósmyndir, málverk, teikningar, stungur, skissur, minnispunkta og -blöð, afrit og blekborða eða eftirmyndir, sem eru gerðar með hvaða aðferð eða hætti sem er, og hljóð-, radd-, segul- eða rafeindaupptökur eða ljóstækni- eða myndupptökur í hvaða mynd sem er og færanlegan tækjabúnað fyrir gagnavinnslu með vistfasta geymslumiðla fyrir tölvur og umskiptanlega geymslumiðla fyrir tölvur.</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jc w:val="center"/>
        <w:rPr>
          <w:rFonts w:ascii="Times New Roman" w:hAnsi="Times New Roman" w:cs="Times New Roman"/>
          <w:b/>
          <w:bCs/>
          <w:color w:val="000000"/>
        </w:rPr>
      </w:pPr>
      <w:r>
        <w:rPr>
          <w:rFonts w:ascii="Times New Roman" w:hAnsi="Times New Roman" w:cs="Times New Roman"/>
          <w:b/>
          <w:bCs/>
          <w:color w:val="000000"/>
        </w:rPr>
        <w:t>II. VIÐAUKI</w:t>
      </w:r>
    </w:p>
    <w:p w:rsidR="00116AF9" w:rsidRDefault="00116AF9" w:rsidP="00116AF9">
      <w:pPr>
        <w:autoSpaceDE w:val="0"/>
        <w:autoSpaceDN w:val="0"/>
        <w:adjustRightInd w:val="0"/>
        <w:spacing w:after="0" w:line="360" w:lineRule="auto"/>
        <w:rPr>
          <w:rFonts w:ascii="Times New Roman" w:hAnsi="Times New Roman" w:cs="Times New Roman"/>
          <w:b/>
          <w:bCs/>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 xml:space="preserve">Viðauki þessi er óaðskiljanlegur hluti samningsins.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 xml:space="preserve">Í samningi þessum merkir skammstöfunin „NATO“ Norður-Atlantshafsbandalagið og þær stofnanir sem falla annaðhvort undir samkomulag varðandi réttarstöðu Norður-Atlantshafsbandalagsins, fulltrúa hjá því og starfsliðs þess, sem var undirritaður í Ottawa hinn 20. september 1951, eða undir bókun varðandi aðstöðu alþjóðlegra hernaðarbækistöðva sem stofnað hefur verið til samkvæmt Norður-Atlantshafssamningnum, sem var undirrituð í París hinn 28. ágúst 1952.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16AF9" w:rsidRDefault="00116AF9" w:rsidP="00116AF9">
      <w:pPr>
        <w:autoSpaceDE w:val="0"/>
        <w:autoSpaceDN w:val="0"/>
        <w:adjustRightInd w:val="0"/>
        <w:spacing w:after="0" w:line="360" w:lineRule="auto"/>
        <w:jc w:val="center"/>
        <w:rPr>
          <w:rFonts w:ascii="Times New Roman" w:hAnsi="Times New Roman" w:cs="Times New Roman"/>
          <w:b/>
          <w:bCs/>
          <w:color w:val="000000"/>
        </w:rPr>
      </w:pPr>
      <w:r>
        <w:rPr>
          <w:rFonts w:ascii="Times New Roman" w:hAnsi="Times New Roman" w:cs="Times New Roman"/>
          <w:b/>
          <w:bCs/>
          <w:color w:val="000000"/>
        </w:rPr>
        <w:t>III. VIÐAUKI</w:t>
      </w:r>
    </w:p>
    <w:p w:rsidR="00116AF9" w:rsidRDefault="00116AF9" w:rsidP="00116AF9">
      <w:pPr>
        <w:autoSpaceDE w:val="0"/>
        <w:autoSpaceDN w:val="0"/>
        <w:adjustRightInd w:val="0"/>
        <w:spacing w:after="0" w:line="360" w:lineRule="auto"/>
        <w:rPr>
          <w:rFonts w:ascii="Times New Roman" w:hAnsi="Times New Roman" w:cs="Times New Roman"/>
          <w:b/>
          <w:bCs/>
          <w:color w:val="000000"/>
        </w:rPr>
      </w:pPr>
    </w:p>
    <w:p w:rsidR="00116AF9" w:rsidRDefault="00116AF9" w:rsidP="00116AF9">
      <w:pPr>
        <w:autoSpaceDE w:val="0"/>
        <w:autoSpaceDN w:val="0"/>
        <w:adjustRightInd w:val="0"/>
        <w:spacing w:after="0" w:line="360" w:lineRule="auto"/>
        <w:rPr>
          <w:rFonts w:ascii="Times New Roman" w:hAnsi="Times New Roman" w:cs="Times New Roman"/>
          <w:color w:val="000000"/>
        </w:rPr>
      </w:pPr>
      <w:r>
        <w:rPr>
          <w:rFonts w:ascii="Times New Roman" w:hAnsi="Times New Roman" w:cs="Times New Roman"/>
          <w:color w:val="000000"/>
        </w:rPr>
        <w:t xml:space="preserve">Viðauki þessi er óaðskiljanlegur hluti samningsins. </w:t>
      </w:r>
    </w:p>
    <w:p w:rsidR="00116AF9" w:rsidRDefault="00116AF9" w:rsidP="00116AF9">
      <w:pPr>
        <w:autoSpaceDE w:val="0"/>
        <w:autoSpaceDN w:val="0"/>
        <w:adjustRightInd w:val="0"/>
        <w:spacing w:after="0" w:line="360" w:lineRule="auto"/>
        <w:rPr>
          <w:rFonts w:ascii="Times New Roman" w:hAnsi="Times New Roman" w:cs="Times New Roman"/>
          <w:color w:val="000000"/>
        </w:rPr>
      </w:pPr>
    </w:p>
    <w:p w:rsidR="001026E9" w:rsidRPr="00116AF9" w:rsidRDefault="00116AF9" w:rsidP="00116AF9">
      <w:r>
        <w:rPr>
          <w:rFonts w:ascii="Times New Roman" w:hAnsi="Times New Roman" w:cs="Times New Roman"/>
          <w:color w:val="000000"/>
        </w:rPr>
        <w:t xml:space="preserve">Samráð er haft við herforingja til þess að virða megi sérréttindi þeirra. </w:t>
      </w:r>
    </w:p>
    <w:sectPr w:rsidR="001026E9" w:rsidRPr="00116A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F9"/>
    <w:rsid w:val="000B38F6"/>
    <w:rsid w:val="001026E9"/>
    <w:rsid w:val="0010643A"/>
    <w:rsid w:val="00116AF9"/>
    <w:rsid w:val="00122581"/>
    <w:rsid w:val="001708BB"/>
    <w:rsid w:val="001F65E7"/>
    <w:rsid w:val="00206B02"/>
    <w:rsid w:val="004F3879"/>
    <w:rsid w:val="00515499"/>
    <w:rsid w:val="00521BE1"/>
    <w:rsid w:val="005A085F"/>
    <w:rsid w:val="0073090E"/>
    <w:rsid w:val="007609D4"/>
    <w:rsid w:val="00771F28"/>
    <w:rsid w:val="007973C2"/>
    <w:rsid w:val="0084244B"/>
    <w:rsid w:val="008B1230"/>
    <w:rsid w:val="008C6258"/>
    <w:rsid w:val="008E4A72"/>
    <w:rsid w:val="00947293"/>
    <w:rsid w:val="00A56935"/>
    <w:rsid w:val="00AE3B56"/>
    <w:rsid w:val="00B01E62"/>
    <w:rsid w:val="00CC7258"/>
    <w:rsid w:val="00CD7BCD"/>
    <w:rsid w:val="00D9104E"/>
    <w:rsid w:val="00E242E8"/>
    <w:rsid w:val="00E4584F"/>
    <w:rsid w:val="00E94E63"/>
    <w:rsid w:val="00ED3D88"/>
    <w:rsid w:val="00FB4E06"/>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2180</Words>
  <Characters>12429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Utanríkisráðuneytið</Company>
  <LinksUpToDate>false</LinksUpToDate>
  <CharactersWithSpaces>14580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Pétur G. Thorsteinsson</dc:creator>
  <cp:lastModifiedBy>Pétur G. Thorsteinsson</cp:lastModifiedBy>
  <cp:revision>1</cp:revision>
  <dcterms:created xsi:type="dcterms:W3CDTF">2012-12-19T11:09:00Z</dcterms:created>
  <dcterms:modified xsi:type="dcterms:W3CDTF">2012-12-19T11:14:00Z</dcterms:modified>
</cp:coreProperties>
</file>